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ROSAC0149ZPB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r34nnfbzanql"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Eseschioi - Lacul Bugeac</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jzfdvg40sbh4"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s189h8wn3mv1"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1.351,22</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45,92%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1.295,47</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efgr7f93dsyy" w:id="3"/>
      <w:bookmarkEnd w:id="3"/>
      <w:r w:rsidDel="00000000" w:rsidR="00000000" w:rsidRPr="00000000">
        <w:rPr>
          <w:color w:val="000000"/>
          <w:sz w:val="22"/>
          <w:szCs w:val="22"/>
          <w:rtl w:val="0"/>
        </w:rPr>
        <w:t xml:space="preserve">- Hotărârea de Guvern nr. 2151/2004 privind instituirea regimului de arie naturală protejată pentru noi zone: rezervația naturală RONPA0879 Lacul Bugeac;</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RONPA0382 Pădurea Esechioi;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0"/>
        <w:gridCol w:w="4650"/>
        <w:tblGridChange w:id="0">
          <w:tblGrid>
            <w:gridCol w:w="4350"/>
            <w:gridCol w:w="46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40C0* Tufărişuri caducifoliate ponto-sarmatice</w:t>
            </w:r>
          </w:p>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3150 Lacuri eutrofe naturale cu vegetaţie de Magnopotamion sau Hydrocharition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Ajuga laxmanii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Asparagus tenuifolius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Astragalus haarbachii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Bidens frondosa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Carex hirta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Ceratophyllum demersum</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Cotynus coggygria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Cyperus fuscus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Echinochloa crus-galli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Eclipta prostrata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Gnaphalium uliginosum</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Gnaphalum uliginosum</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Haynaldia villosa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Inula britannica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Iris variegata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Limodorum abortivum</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Lycopus europaeus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Mentha aquatica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Myriophyllum verticillatum</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Myrrhoides nodosa</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Nymphaea alba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Nymphoides peltata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Phragmites australis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Piptatherum virescens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Plantago media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Polygonum amphibium</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Polygonum Hydropiper</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Polygonum lapathifolium</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Ranunculus aquatilis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Rorippa amphibia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Typha angustifolia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Verbena officinalis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Viburnum lantana</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A404 Aquila heliaca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A025 Bubulcus ibis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B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B4">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6138 Dolichophis caspius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1248 Podarcis taurica</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1219Testudo graeca</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C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C">
            <w:pPr>
              <w:spacing w:after="0" w:lineRule="auto"/>
              <w:rPr>
                <w:i w:val="1"/>
                <w:iCs w:val="1"/>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0">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D1">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D2">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D3">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D4">
            <w:pPr>
              <w:jc w:val="both"/>
              <w:rPr/>
            </w:pPr>
            <w:r w:rsidDel="00000000" w:rsidR="00000000" w:rsidRPr="00000000">
              <w:rPr>
                <w:sz w:val="22"/>
                <w:szCs w:val="22"/>
                <w:rtl w:val="0"/>
              </w:rPr>
              <w:t xml:space="preserve">Desemnarea ca ZPB se fundamentează pe criteriile stabilite de metodologie pentru rezervațiile naturale și valoarea ecologică ridicată a habitatelor și speciilor de interes conservativ asociate acesteia.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A10.01 - îndepărtarea gardurilor vii şi a crângurilor sau tufişurilor</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E03.01 - depozitarea deşeurilor menajere/deşeuri provenite din activităţi de agreement</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H01 - Poluarea apelor de suprafaţă (limnice, terestre, marine şi salmastre)</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2F">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31">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55,75</w:t>
      </w:r>
      <w:r w:rsidDel="00000000" w:rsidR="00000000" w:rsidRPr="00000000">
        <w:rPr>
          <w:rtl w:val="0"/>
        </w:rPr>
      </w:r>
    </w:p>
    <w:p w:rsidR="00000000" w:rsidDel="00000000" w:rsidP="00000000" w:rsidRDefault="00000000" w:rsidRPr="00000000" w14:paraId="0000013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85"/>
        <w:gridCol w:w="4515"/>
        <w:tblGridChange w:id="0">
          <w:tblGrid>
            <w:gridCol w:w="4485"/>
            <w:gridCol w:w="45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Rule="auto"/>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91M0 Păduri balcano-panonice de cer și gorun</w:t>
            </w:r>
            <w:r w:rsidDel="00000000" w:rsidR="00000000" w:rsidRPr="00000000">
              <w:rPr>
                <w:rtl w:val="0"/>
              </w:rPr>
            </w:r>
          </w:p>
        </w:tc>
      </w:tr>
      <w:tr>
        <w:trPr>
          <w:cantSplit w:val="0"/>
          <w:trHeight w:val="154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41">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142">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143">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14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145">
            <w:pPr>
              <w:spacing w:after="0" w:lineRule="auto"/>
              <w:rPr>
                <w:i w:val="1"/>
                <w:iCs w:val="1"/>
                <w:sz w:val="22"/>
                <w:szCs w:val="22"/>
              </w:rPr>
            </w:pPr>
            <w:r w:rsidDel="00000000" w:rsidR="00000000" w:rsidRPr="00000000">
              <w:rPr>
                <w:i w:val="1"/>
                <w:iCs w:val="1"/>
                <w:sz w:val="22"/>
                <w:szCs w:val="22"/>
                <w:rtl w:val="0"/>
              </w:rPr>
              <w:t xml:space="preserve">6138 Dolichophis caspius</w:t>
            </w:r>
          </w:p>
          <w:p w:rsidR="00000000" w:rsidDel="00000000" w:rsidP="00000000" w:rsidRDefault="00000000" w:rsidRPr="00000000" w14:paraId="0000014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147">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148">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149">
            <w:pPr>
              <w:spacing w:after="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14A">
            <w:pPr>
              <w:spacing w:after="0" w:lineRule="auto"/>
              <w:rPr>
                <w:i w:val="1"/>
                <w:iCs w:val="1"/>
                <w:sz w:val="22"/>
                <w:szCs w:val="22"/>
              </w:rPr>
            </w:pPr>
            <w:r w:rsidDel="00000000" w:rsidR="00000000" w:rsidRPr="00000000">
              <w:rPr>
                <w:i w:val="1"/>
                <w:iCs w:val="1"/>
                <w:sz w:val="22"/>
                <w:szCs w:val="22"/>
                <w:rtl w:val="0"/>
              </w:rPr>
              <w:t xml:space="preserve">1219Testudo graeca</w:t>
            </w:r>
          </w:p>
          <w:p w:rsidR="00000000" w:rsidDel="00000000" w:rsidP="00000000" w:rsidRDefault="00000000" w:rsidRPr="00000000" w14:paraId="0000014B">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14C">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D">
            <w:pPr>
              <w:spacing w:after="0" w:lineRule="auto"/>
              <w:jc w:val="both"/>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4E">
            <w:pPr>
              <w:spacing w:after="0" w:lineRule="auto"/>
              <w:jc w:val="both"/>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4F">
            <w:pPr>
              <w:spacing w:after="0" w:lineRule="auto"/>
              <w:jc w:val="both"/>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5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53">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-Doniţă N., Popescu A., Păucă-Comănescu M., Mihăilescu S., Biriş I.-A. 2005. Habitatele din România</w:t>
      </w:r>
    </w:p>
    <w:p w:rsidR="00000000" w:rsidDel="00000000" w:rsidP="00000000" w:rsidRDefault="00000000" w:rsidRPr="00000000" w14:paraId="000001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Dan, Mountford Owen J. et al. 2008. Manual de interpretare a habitatelor Natura 2000 din Romania</w:t>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-Sanda Vasile, Öllerer Kinga, Burescu Petru 2008. Fitocenozele din România. Sintaxonomie, structură, dinamică și evoluți</w:t>
      </w:r>
      <w:r w:rsidDel="00000000" w:rsidR="00000000" w:rsidRPr="00000000">
        <w:rPr>
          <w:sz w:val="22"/>
          <w:szCs w:val="22"/>
          <w:rtl w:val="0"/>
        </w:rPr>
        <w:t xml:space="preserve">e.</w:t>
      </w:r>
      <w:r w:rsidDel="00000000" w:rsidR="00000000" w:rsidRPr="00000000">
        <w:rPr>
          <w:rtl w:val="0"/>
        </w:rPr>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ozujr3tnq4f" w:id="4"/>
      <w:bookmarkEnd w:id="4"/>
      <w:r w:rsidDel="00000000" w:rsidR="00000000" w:rsidRPr="00000000">
        <w:rPr>
          <w:color w:val="000000"/>
          <w:sz w:val="22"/>
          <w:szCs w:val="22"/>
          <w:rtl w:val="0"/>
        </w:rPr>
        <w:t xml:space="preserve">Consultări publice au fost realizate la: 4 februarie 2025 – Constanța, jud. Constanța, 2025 – Corespondență electronică DS Constanța.</w:t>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20xcss51fdj" w:id="5"/>
      <w:bookmarkEnd w:id="5"/>
      <w:r w:rsidDel="00000000" w:rsidR="00000000" w:rsidRPr="00000000">
        <w:rPr>
          <w:color w:val="000000"/>
          <w:sz w:val="22"/>
          <w:szCs w:val="22"/>
          <w:rtl w:val="0"/>
        </w:rPr>
        <w:t xml:space="preserve">Ulterior, în cadrul procesului de consultare extins la nivel național, au avut loc consultări suplimentară online în data de 21 ianuarie 2026 cu participarea factorilor interesați relevanți din județul Constanța.</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7A">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iqv+l7jUcICMu+/+ftFYp8RLIw==">CgMxLjAyDmgucjM0bm5mYnphbnFsMg5oLmp6ZmR2ZzQwc2JoNDIOaC5zMTg5aDh3bjNtdjEyDmguZWZncjdmOTNkc3l5Mg1oLm96dWpyM3RucTRmMg5oLnQyMHhjc3M1MWZkajgAciExWmhNZ05DQjBkanUwZGljTjE1VUxzLXlZcUFzSE1jamU=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